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938EA" w:rsidRPr="00616265" w14:paraId="7B3EBCE4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3AEA62" w14:textId="77777777" w:rsidR="00A938EA" w:rsidRPr="00616265" w:rsidRDefault="00A938EA" w:rsidP="007E0EFF">
            <w:r w:rsidRPr="00616265">
              <w:rPr>
                <w:b/>
                <w:bCs/>
              </w:rPr>
              <w:t>Anotace předmětu:</w:t>
            </w:r>
          </w:p>
        </w:tc>
      </w:tr>
      <w:tr w:rsidR="00A938EA" w:rsidRPr="00616265" w14:paraId="54780176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E175FC" w14:textId="31630B23" w:rsidR="00A938EA" w:rsidRPr="00616265" w:rsidRDefault="00A938EA" w:rsidP="007E0EFF"/>
        </w:tc>
      </w:tr>
      <w:tr w:rsidR="00A938EA" w:rsidRPr="00616265" w14:paraId="2B44D5CF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DCFF8F" w14:textId="77777777" w:rsidR="00A938EA" w:rsidRPr="00616265" w:rsidRDefault="00A938EA" w:rsidP="007E0EFF"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aim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course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for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students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learn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actively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convey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their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knowledge</w:t>
            </w:r>
            <w:proofErr w:type="spellEnd"/>
            <w:r w:rsidRPr="007E7CB0">
              <w:t xml:space="preserve"> in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field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resource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protection</w:t>
            </w:r>
            <w:proofErr w:type="spellEnd"/>
            <w:r w:rsidRPr="007E7CB0">
              <w:t xml:space="preserve"> and to </w:t>
            </w:r>
            <w:proofErr w:type="spellStart"/>
            <w:r w:rsidRPr="007E7CB0">
              <w:t>prepare</w:t>
            </w:r>
            <w:proofErr w:type="spellEnd"/>
            <w:r w:rsidRPr="007E7CB0">
              <w:t xml:space="preserve"> a </w:t>
            </w:r>
            <w:proofErr w:type="spellStart"/>
            <w:r w:rsidRPr="007E7CB0">
              <w:t>training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course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for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general</w:t>
            </w:r>
            <w:proofErr w:type="spellEnd"/>
            <w:r w:rsidRPr="007E7CB0">
              <w:t xml:space="preserve"> public, in </w:t>
            </w:r>
            <w:proofErr w:type="spellStart"/>
            <w:r w:rsidRPr="007E7CB0">
              <w:t>order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address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public in </w:t>
            </w:r>
            <w:proofErr w:type="spellStart"/>
            <w:r w:rsidRPr="007E7CB0">
              <w:t>an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interesting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way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arouse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their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interest</w:t>
            </w:r>
            <w:proofErr w:type="spellEnd"/>
            <w:r w:rsidRPr="007E7CB0">
              <w:t xml:space="preserve"> in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issue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protection</w:t>
            </w:r>
            <w:proofErr w:type="spellEnd"/>
            <w:r w:rsidRPr="007E7CB0">
              <w:t>.</w:t>
            </w:r>
          </w:p>
        </w:tc>
      </w:tr>
      <w:tr w:rsidR="00A938EA" w:rsidRPr="00616265" w14:paraId="31FA3617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CB3D45" w14:textId="77777777" w:rsidR="00A938EA" w:rsidRPr="00616265" w:rsidRDefault="00A938EA" w:rsidP="007E0EFF">
            <w:r w:rsidRPr="00616265">
              <w:t> </w:t>
            </w:r>
          </w:p>
        </w:tc>
      </w:tr>
      <w:tr w:rsidR="00A938EA" w:rsidRPr="00616265" w14:paraId="1C63B44C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F9E8C5" w14:textId="77777777" w:rsidR="00A938EA" w:rsidRPr="00616265" w:rsidRDefault="00A938EA" w:rsidP="007E0EFF">
            <w:r w:rsidRPr="00616265">
              <w:rPr>
                <w:b/>
                <w:bCs/>
              </w:rPr>
              <w:t>Prerekvizity:</w:t>
            </w:r>
          </w:p>
        </w:tc>
      </w:tr>
      <w:tr w:rsidR="00A938EA" w:rsidRPr="00616265" w14:paraId="3891EABA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087C36" w14:textId="152E6EF3" w:rsidR="00A938EA" w:rsidRPr="00616265" w:rsidRDefault="00A938EA" w:rsidP="007E0EFF"/>
        </w:tc>
      </w:tr>
      <w:tr w:rsidR="00A938EA" w:rsidRPr="00616265" w14:paraId="3B1B8612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E6A382" w14:textId="77777777" w:rsidR="00A938EA" w:rsidRPr="00616265" w:rsidRDefault="00A938EA" w:rsidP="007E0EFF">
            <w:proofErr w:type="spellStart"/>
            <w:r w:rsidRPr="007E7CB0">
              <w:t>knowledge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protection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issues</w:t>
            </w:r>
            <w:proofErr w:type="spellEnd"/>
          </w:p>
        </w:tc>
      </w:tr>
      <w:tr w:rsidR="00A938EA" w:rsidRPr="00616265" w14:paraId="748BFBF7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F34432" w14:textId="77777777" w:rsidR="00A938EA" w:rsidRPr="00616265" w:rsidRDefault="00A938EA" w:rsidP="007E0EFF">
            <w:r w:rsidRPr="00616265">
              <w:rPr>
                <w:b/>
                <w:bCs/>
              </w:rPr>
              <w:t>Další doporučené předměty:</w:t>
            </w:r>
          </w:p>
        </w:tc>
      </w:tr>
      <w:tr w:rsidR="00A938EA" w:rsidRPr="00616265" w14:paraId="07893210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4E2FB6" w14:textId="5A9B5C3D" w:rsidR="00A938EA" w:rsidRPr="00616265" w:rsidRDefault="00A938EA" w:rsidP="007E0EFF"/>
        </w:tc>
      </w:tr>
      <w:tr w:rsidR="00A938EA" w:rsidRPr="00616265" w14:paraId="2DAA798D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52343B" w14:textId="03016707" w:rsidR="00A938EA" w:rsidRPr="00616265" w:rsidRDefault="00A938EA" w:rsidP="007E0EFF">
            <w:proofErr w:type="spellStart"/>
            <w:r>
              <w:t>none</w:t>
            </w:r>
            <w:proofErr w:type="spellEnd"/>
          </w:p>
        </w:tc>
      </w:tr>
      <w:tr w:rsidR="00A938EA" w:rsidRPr="00616265" w14:paraId="7C6D6349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05DFF5" w14:textId="77777777" w:rsidR="00A938EA" w:rsidRPr="00616265" w:rsidRDefault="00A938EA" w:rsidP="007E0EFF">
            <w:r w:rsidRPr="00616265">
              <w:rPr>
                <w:b/>
                <w:bCs/>
              </w:rPr>
              <w:t>Cíl předmětu:</w:t>
            </w:r>
          </w:p>
        </w:tc>
      </w:tr>
      <w:tr w:rsidR="00A938EA" w:rsidRPr="00616265" w14:paraId="0E340EE3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C95E50" w14:textId="67DA374E" w:rsidR="00A938EA" w:rsidRPr="00616265" w:rsidRDefault="00A938EA" w:rsidP="007E0EFF"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aim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course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create</w:t>
            </w:r>
            <w:proofErr w:type="spellEnd"/>
            <w:r w:rsidRPr="007E7CB0">
              <w:t xml:space="preserve"> a student </w:t>
            </w:r>
            <w:proofErr w:type="spellStart"/>
            <w:r w:rsidRPr="007E7CB0">
              <w:t>competition</w:t>
            </w:r>
            <w:proofErr w:type="spellEnd"/>
            <w:r w:rsidRPr="007E7CB0">
              <w:t xml:space="preserve"> in </w:t>
            </w:r>
            <w:proofErr w:type="spellStart"/>
            <w:r w:rsidRPr="007E7CB0">
              <w:t>which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students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or</w:t>
            </w:r>
            <w:proofErr w:type="spellEnd"/>
            <w:r w:rsidRPr="007E7CB0">
              <w:t xml:space="preserve"> student </w:t>
            </w:r>
            <w:proofErr w:type="spellStart"/>
            <w:r w:rsidRPr="007E7CB0">
              <w:t>teams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will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prepare</w:t>
            </w:r>
            <w:proofErr w:type="spellEnd"/>
            <w:r w:rsidRPr="007E7CB0">
              <w:t xml:space="preserve"> a </w:t>
            </w:r>
            <w:proofErr w:type="spellStart"/>
            <w:r w:rsidRPr="007E7CB0">
              <w:t>teaching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course</w:t>
            </w:r>
            <w:proofErr w:type="spellEnd"/>
            <w:r w:rsidRPr="007E7CB0">
              <w:t xml:space="preserve"> on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issue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protection</w:t>
            </w:r>
            <w:proofErr w:type="spellEnd"/>
            <w:r w:rsidRPr="007E7CB0">
              <w:t xml:space="preserve">.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best</w:t>
            </w:r>
            <w:proofErr w:type="spellEnd"/>
            <w:r w:rsidRPr="007E7CB0">
              <w:t xml:space="preserve"> 3 </w:t>
            </w:r>
            <w:proofErr w:type="spellStart"/>
            <w:r w:rsidRPr="007E7CB0">
              <w:t>proposals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will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be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invited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Czech-German </w:t>
            </w:r>
            <w:proofErr w:type="spellStart"/>
            <w:r w:rsidRPr="007E7CB0">
              <w:t>competition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will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implement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their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courses</w:t>
            </w:r>
            <w:proofErr w:type="spellEnd"/>
            <w:r w:rsidRPr="007E7CB0">
              <w:t>.</w:t>
            </w:r>
          </w:p>
        </w:tc>
      </w:tr>
      <w:tr w:rsidR="00A938EA" w:rsidRPr="00616265" w14:paraId="73BBCEDF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2BDCA0" w14:textId="77777777" w:rsidR="00A938EA" w:rsidRPr="00616265" w:rsidRDefault="00A938EA" w:rsidP="007E0EFF">
            <w:r w:rsidRPr="00616265">
              <w:rPr>
                <w:b/>
                <w:bCs/>
              </w:rPr>
              <w:t>Znalosti:</w:t>
            </w:r>
          </w:p>
        </w:tc>
      </w:tr>
      <w:tr w:rsidR="00A938EA" w:rsidRPr="00616265" w14:paraId="1602B0DE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FC3ED2" w14:textId="3F5513BC" w:rsidR="00A938EA" w:rsidRPr="00616265" w:rsidRDefault="00A938EA" w:rsidP="007E0EFF"/>
        </w:tc>
      </w:tr>
      <w:tr w:rsidR="00A938EA" w:rsidRPr="00616265" w14:paraId="651EDD13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47FF6E" w14:textId="39889B48" w:rsidR="00A938EA" w:rsidRPr="00616265" w:rsidRDefault="00A938EA" w:rsidP="007E0EFF">
            <w:proofErr w:type="spellStart"/>
            <w:r w:rsidRPr="007E7CB0">
              <w:t>The</w:t>
            </w:r>
            <w:proofErr w:type="spellEnd"/>
            <w:r w:rsidRPr="007E7CB0">
              <w:t xml:space="preserve"> student </w:t>
            </w:r>
            <w:proofErr w:type="spellStart"/>
            <w:r w:rsidRPr="007E7CB0">
              <w:t>knows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need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protect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resources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basic </w:t>
            </w:r>
            <w:proofErr w:type="spellStart"/>
            <w:r w:rsidRPr="007E7CB0">
              <w:t>concepts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associated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with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management </w:t>
            </w:r>
            <w:proofErr w:type="spellStart"/>
            <w:r w:rsidRPr="007E7CB0">
              <w:t>issues</w:t>
            </w:r>
            <w:proofErr w:type="spellEnd"/>
            <w:r w:rsidRPr="007E7CB0">
              <w:t xml:space="preserve"> (</w:t>
            </w:r>
            <w:proofErr w:type="spellStart"/>
            <w:r w:rsidRPr="007E7CB0">
              <w:t>eutrophication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acidification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pollution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urban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flow</w:t>
            </w:r>
            <w:proofErr w:type="spellEnd"/>
            <w:r w:rsidRPr="007E7CB0">
              <w:t xml:space="preserve"> syndrome, hydrobiology), and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able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convey</w:t>
            </w:r>
            <w:proofErr w:type="spellEnd"/>
            <w:r w:rsidRPr="007E7CB0">
              <w:t xml:space="preserve"> his</w:t>
            </w:r>
            <w:r>
              <w:t>/her</w:t>
            </w:r>
            <w:r w:rsidRPr="007E7CB0">
              <w:t xml:space="preserve"> </w:t>
            </w:r>
            <w:proofErr w:type="spellStart"/>
            <w:r w:rsidRPr="007E7CB0">
              <w:t>knowledge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general</w:t>
            </w:r>
            <w:proofErr w:type="spellEnd"/>
            <w:r w:rsidRPr="007E7CB0">
              <w:t xml:space="preserve"> public.</w:t>
            </w:r>
          </w:p>
        </w:tc>
      </w:tr>
      <w:tr w:rsidR="00A938EA" w:rsidRPr="00616265" w14:paraId="590341AC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1411FF" w14:textId="77777777" w:rsidR="00A938EA" w:rsidRPr="00616265" w:rsidRDefault="00A938EA" w:rsidP="007E0EFF">
            <w:r w:rsidRPr="00616265">
              <w:rPr>
                <w:b/>
                <w:bCs/>
              </w:rPr>
              <w:t>Dovednosti:</w:t>
            </w:r>
          </w:p>
        </w:tc>
      </w:tr>
      <w:tr w:rsidR="00A938EA" w:rsidRPr="00616265" w14:paraId="7D32ED68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FB3BD3" w14:textId="2A84AFB2" w:rsidR="00A938EA" w:rsidRPr="00616265" w:rsidRDefault="00A938EA" w:rsidP="007E0EFF"/>
        </w:tc>
      </w:tr>
      <w:tr w:rsidR="00A938EA" w:rsidRPr="00616265" w14:paraId="6C76C1FB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CAB461" w14:textId="6DF59FD4" w:rsidR="00A938EA" w:rsidRPr="00616265" w:rsidRDefault="00A938EA" w:rsidP="007E0EFF">
            <w:proofErr w:type="spellStart"/>
            <w:r w:rsidRPr="007E7CB0">
              <w:t>The</w:t>
            </w:r>
            <w:proofErr w:type="spellEnd"/>
            <w:r w:rsidRPr="007E7CB0">
              <w:t xml:space="preserve"> student has </w:t>
            </w:r>
            <w:proofErr w:type="spellStart"/>
            <w:r w:rsidRPr="007E7CB0">
              <w:t>skills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related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protection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resources</w:t>
            </w:r>
            <w:proofErr w:type="spellEnd"/>
            <w:r w:rsidRPr="007E7CB0">
              <w:t xml:space="preserve"> -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quality</w:t>
            </w:r>
            <w:proofErr w:type="spellEnd"/>
            <w:r w:rsidRPr="007E7CB0">
              <w:t xml:space="preserve">; </w:t>
            </w:r>
            <w:proofErr w:type="spellStart"/>
            <w:r w:rsidRPr="007E7CB0">
              <w:t>eutrophication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acidification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floods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shortages</w:t>
            </w:r>
            <w:proofErr w:type="spellEnd"/>
            <w:r w:rsidRPr="007E7CB0">
              <w:t xml:space="preserve">; </w:t>
            </w:r>
            <w:proofErr w:type="spellStart"/>
            <w:r w:rsidRPr="007E7CB0">
              <w:t>drinking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treatment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wastewater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treatment</w:t>
            </w:r>
            <w:proofErr w:type="spellEnd"/>
            <w:r w:rsidRPr="007E7CB0">
              <w:t xml:space="preserve">.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student </w:t>
            </w:r>
            <w:proofErr w:type="spellStart"/>
            <w:r w:rsidRPr="007E7CB0">
              <w:t>understands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role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in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circular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economy</w:t>
            </w:r>
            <w:proofErr w:type="spellEnd"/>
            <w:r w:rsidRPr="007E7CB0">
              <w:t xml:space="preserve">, has basic </w:t>
            </w:r>
            <w:proofErr w:type="spellStart"/>
            <w:r w:rsidRPr="007E7CB0">
              <w:t>knowledge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about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protection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water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resources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their</w:t>
            </w:r>
            <w:proofErr w:type="spellEnd"/>
            <w:r w:rsidRPr="007E7CB0">
              <w:t xml:space="preserve"> management.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student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able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convey</w:t>
            </w:r>
            <w:proofErr w:type="spellEnd"/>
            <w:r w:rsidRPr="007E7CB0">
              <w:t xml:space="preserve"> his</w:t>
            </w:r>
            <w:r>
              <w:t>/her</w:t>
            </w:r>
            <w:r w:rsidRPr="007E7CB0">
              <w:t xml:space="preserve"> </w:t>
            </w:r>
            <w:proofErr w:type="spellStart"/>
            <w:r w:rsidRPr="007E7CB0">
              <w:t>knowledge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lay</w:t>
            </w:r>
            <w:proofErr w:type="spellEnd"/>
            <w:r w:rsidRPr="007E7CB0">
              <w:t xml:space="preserve"> public.</w:t>
            </w:r>
          </w:p>
        </w:tc>
      </w:tr>
      <w:tr w:rsidR="00A938EA" w:rsidRPr="00616265" w14:paraId="51487F29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FCA4BC" w14:textId="77777777" w:rsidR="00A938EA" w:rsidRPr="00616265" w:rsidRDefault="00A938EA" w:rsidP="007E0EFF">
            <w:r w:rsidRPr="00616265">
              <w:rPr>
                <w:b/>
                <w:bCs/>
              </w:rPr>
              <w:t>Kompetence - komunikace:</w:t>
            </w:r>
          </w:p>
        </w:tc>
      </w:tr>
      <w:tr w:rsidR="00A938EA" w:rsidRPr="00616265" w14:paraId="5DB980B7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330F1" w14:textId="1D06D777" w:rsidR="00A938EA" w:rsidRPr="00616265" w:rsidRDefault="00A938EA" w:rsidP="007E0EFF"/>
        </w:tc>
      </w:tr>
      <w:tr w:rsidR="00A938EA" w:rsidRPr="00616265" w14:paraId="7E4F5D6E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8BCD4A" w14:textId="48B9F1DF" w:rsidR="00A938EA" w:rsidRPr="00616265" w:rsidRDefault="00A938EA" w:rsidP="007E0EFF">
            <w:proofErr w:type="spellStart"/>
            <w:r w:rsidRPr="007E7CB0">
              <w:t>The</w:t>
            </w:r>
            <w:proofErr w:type="spellEnd"/>
            <w:r w:rsidRPr="007E7CB0">
              <w:t xml:space="preserve"> student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able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work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both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under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supervision</w:t>
            </w:r>
            <w:proofErr w:type="spellEnd"/>
            <w:r w:rsidRPr="007E7CB0">
              <w:t xml:space="preserve"> and in a team. He/</w:t>
            </w:r>
            <w:proofErr w:type="spellStart"/>
            <w:r w:rsidRPr="007E7CB0">
              <w:t>she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can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formulate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present</w:t>
            </w:r>
            <w:proofErr w:type="spellEnd"/>
            <w:r w:rsidRPr="007E7CB0">
              <w:t xml:space="preserve"> his/her </w:t>
            </w:r>
            <w:proofErr w:type="spellStart"/>
            <w:r w:rsidRPr="007E7CB0">
              <w:t>own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opinions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clearly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communicate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information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ideas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specify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problems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propose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solutions</w:t>
            </w:r>
            <w:proofErr w:type="spellEnd"/>
            <w:r w:rsidRPr="007E7CB0">
              <w:t>.</w:t>
            </w:r>
          </w:p>
        </w:tc>
      </w:tr>
      <w:tr w:rsidR="00A938EA" w:rsidRPr="00616265" w14:paraId="7C274E35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C04517" w14:textId="77777777" w:rsidR="00A938EA" w:rsidRPr="00616265" w:rsidRDefault="00A938EA" w:rsidP="007E0EFF">
            <w:r w:rsidRPr="00616265">
              <w:rPr>
                <w:b/>
                <w:bCs/>
              </w:rPr>
              <w:t>Kompetence - úsudek:</w:t>
            </w:r>
          </w:p>
        </w:tc>
      </w:tr>
      <w:tr w:rsidR="00A938EA" w:rsidRPr="00616265" w14:paraId="3BD5E926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F032B4" w14:textId="79D93658" w:rsidR="00A938EA" w:rsidRPr="00616265" w:rsidRDefault="00A938EA" w:rsidP="007E0EFF"/>
        </w:tc>
      </w:tr>
      <w:tr w:rsidR="00A938EA" w:rsidRPr="00616265" w14:paraId="711B147F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5E34C4" w14:textId="2080D440" w:rsidR="00A938EA" w:rsidRPr="00616265" w:rsidRDefault="00A938EA" w:rsidP="007E0EFF">
            <w:proofErr w:type="spellStart"/>
            <w:r w:rsidRPr="007E7CB0">
              <w:t>The</w:t>
            </w:r>
            <w:proofErr w:type="spellEnd"/>
            <w:r w:rsidRPr="007E7CB0">
              <w:t xml:space="preserve"> student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able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approach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work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creatively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proactively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uses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relevant</w:t>
            </w:r>
            <w:proofErr w:type="spellEnd"/>
            <w:r w:rsidRPr="007E7CB0">
              <w:t xml:space="preserve"> data (</w:t>
            </w:r>
            <w:proofErr w:type="spellStart"/>
            <w:r w:rsidRPr="007E7CB0">
              <w:t>literature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own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experience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experience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experts</w:t>
            </w:r>
            <w:proofErr w:type="spellEnd"/>
            <w:r w:rsidRPr="007E7CB0">
              <w:t xml:space="preserve">) </w:t>
            </w:r>
            <w:proofErr w:type="spellStart"/>
            <w:r w:rsidRPr="007E7CB0">
              <w:t>when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forming</w:t>
            </w:r>
            <w:proofErr w:type="spellEnd"/>
            <w:r w:rsidRPr="007E7CB0">
              <w:t xml:space="preserve"> a </w:t>
            </w:r>
            <w:proofErr w:type="spellStart"/>
            <w:r w:rsidRPr="007E7CB0">
              <w:t>judgment</w:t>
            </w:r>
            <w:proofErr w:type="spellEnd"/>
            <w:r w:rsidRPr="007E7CB0">
              <w:t xml:space="preserve">. Has management </w:t>
            </w:r>
            <w:proofErr w:type="spellStart"/>
            <w:r w:rsidRPr="007E7CB0">
              <w:t>skills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within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framework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defined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rules</w:t>
            </w:r>
            <w:proofErr w:type="spellEnd"/>
            <w:r w:rsidRPr="007E7CB0">
              <w:t>.</w:t>
            </w:r>
          </w:p>
        </w:tc>
      </w:tr>
      <w:tr w:rsidR="00A938EA" w:rsidRPr="00616265" w14:paraId="6F6951F9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E4F69" w14:textId="77777777" w:rsidR="00A938EA" w:rsidRPr="00616265" w:rsidRDefault="00A938EA" w:rsidP="007E0EFF">
            <w:r w:rsidRPr="00616265">
              <w:rPr>
                <w:b/>
                <w:bCs/>
              </w:rPr>
              <w:t>Kompetence - vzdělávání:</w:t>
            </w:r>
          </w:p>
        </w:tc>
      </w:tr>
      <w:tr w:rsidR="00A938EA" w:rsidRPr="00616265" w14:paraId="1B6689C4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7AADB3" w14:textId="77B51AFC" w:rsidR="00A938EA" w:rsidRPr="00616265" w:rsidRDefault="00A938EA" w:rsidP="007E0EFF"/>
        </w:tc>
      </w:tr>
      <w:tr w:rsidR="00A938EA" w:rsidRPr="00616265" w14:paraId="2718107F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BFE098" w14:textId="095B65BB" w:rsidR="00A938EA" w:rsidRPr="00616265" w:rsidRDefault="00A938EA" w:rsidP="007E0EFF">
            <w:proofErr w:type="spellStart"/>
            <w:r w:rsidRPr="007E7CB0">
              <w:t>The</w:t>
            </w:r>
            <w:proofErr w:type="spellEnd"/>
            <w:r w:rsidRPr="007E7CB0">
              <w:t xml:space="preserve"> student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capable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further</w:t>
            </w:r>
            <w:proofErr w:type="spellEnd"/>
            <w:r w:rsidRPr="007E7CB0">
              <w:t xml:space="preserve"> independent </w:t>
            </w:r>
            <w:proofErr w:type="spellStart"/>
            <w:r w:rsidRPr="007E7CB0">
              <w:t>education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expanding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knowledge</w:t>
            </w:r>
            <w:proofErr w:type="spellEnd"/>
            <w:r w:rsidRPr="007E7CB0">
              <w:t xml:space="preserve">, monitoring </w:t>
            </w:r>
            <w:proofErr w:type="spellStart"/>
            <w:r w:rsidRPr="007E7CB0">
              <w:t>sources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professional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information</w:t>
            </w:r>
            <w:proofErr w:type="spellEnd"/>
            <w:r w:rsidRPr="007E7CB0">
              <w:t>. He/</w:t>
            </w:r>
            <w:proofErr w:type="spellStart"/>
            <w:r w:rsidRPr="007E7CB0">
              <w:t>she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able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obtain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information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assess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lastRenderedPageBreak/>
              <w:t>situation</w:t>
            </w:r>
            <w:proofErr w:type="spellEnd"/>
            <w:r w:rsidRPr="007E7CB0">
              <w:t xml:space="preserve"> in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environment,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able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critically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evaluate</w:t>
            </w:r>
            <w:proofErr w:type="spellEnd"/>
            <w:r w:rsidRPr="007E7CB0">
              <w:t xml:space="preserve"> his/her </w:t>
            </w:r>
            <w:proofErr w:type="spellStart"/>
            <w:r w:rsidRPr="007E7CB0">
              <w:t>own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knowledge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determine</w:t>
            </w:r>
            <w:proofErr w:type="spellEnd"/>
            <w:r w:rsidRPr="007E7CB0">
              <w:t xml:space="preserve"> his/her </w:t>
            </w:r>
            <w:proofErr w:type="spellStart"/>
            <w:r w:rsidRPr="007E7CB0">
              <w:t>own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information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needs</w:t>
            </w:r>
            <w:proofErr w:type="spellEnd"/>
            <w:r w:rsidRPr="007E7CB0">
              <w:t xml:space="preserve">, and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able</w:t>
            </w:r>
            <w:proofErr w:type="spellEnd"/>
            <w:r w:rsidRPr="007E7CB0">
              <w:t xml:space="preserve"> to direct </w:t>
            </w:r>
            <w:proofErr w:type="spellStart"/>
            <w:r w:rsidRPr="007E7CB0">
              <w:t>others</w:t>
            </w:r>
            <w:proofErr w:type="spellEnd"/>
            <w:r w:rsidRPr="007E7CB0">
              <w:t xml:space="preserve"> in </w:t>
            </w:r>
            <w:proofErr w:type="spellStart"/>
            <w:r w:rsidRPr="007E7CB0">
              <w:t>finding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educational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needs</w:t>
            </w:r>
            <w:proofErr w:type="spellEnd"/>
            <w:r w:rsidRPr="007E7CB0">
              <w:t>.</w:t>
            </w:r>
          </w:p>
        </w:tc>
      </w:tr>
      <w:tr w:rsidR="00A938EA" w:rsidRPr="00616265" w14:paraId="124FAA22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D937A" w14:textId="77777777" w:rsidR="00A938EA" w:rsidRPr="00616265" w:rsidRDefault="00A938EA" w:rsidP="007E0EFF">
            <w:r w:rsidRPr="00616265">
              <w:rPr>
                <w:b/>
                <w:bCs/>
              </w:rPr>
              <w:lastRenderedPageBreak/>
              <w:t>Způsob a metody výuky:</w:t>
            </w:r>
          </w:p>
        </w:tc>
      </w:tr>
      <w:tr w:rsidR="00A938EA" w:rsidRPr="00616265" w14:paraId="1A2782F6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3E82AA" w14:textId="13D54497" w:rsidR="00A938EA" w:rsidRPr="00616265" w:rsidRDefault="00A938EA" w:rsidP="007E0EFF"/>
        </w:tc>
      </w:tr>
      <w:tr w:rsidR="00A938EA" w:rsidRPr="00616265" w14:paraId="0984F288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D7CA9D" w14:textId="125A7F8B" w:rsidR="00A938EA" w:rsidRPr="00616265" w:rsidRDefault="00A938EA" w:rsidP="007E0EFF">
            <w:proofErr w:type="spellStart"/>
            <w:r w:rsidRPr="007E7CB0">
              <w:t>Teaching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takes</w:t>
            </w:r>
            <w:proofErr w:type="spellEnd"/>
            <w:r w:rsidRPr="007E7CB0">
              <w:t xml:space="preserve"> place in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form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consultations</w:t>
            </w:r>
            <w:proofErr w:type="spellEnd"/>
            <w:r w:rsidRPr="007E7CB0">
              <w:t xml:space="preserve">, independent </w:t>
            </w:r>
            <w:proofErr w:type="spellStart"/>
            <w:r w:rsidRPr="007E7CB0">
              <w:t>work</w:t>
            </w:r>
            <w:proofErr w:type="spellEnd"/>
            <w:r w:rsidRPr="007E7CB0">
              <w:t xml:space="preserve"> by </w:t>
            </w:r>
            <w:proofErr w:type="spellStart"/>
            <w:r w:rsidRPr="007E7CB0">
              <w:t>students</w:t>
            </w:r>
            <w:proofErr w:type="spellEnd"/>
            <w:r w:rsidRPr="007E7CB0">
              <w:t xml:space="preserve">, and </w:t>
            </w:r>
            <w:proofErr w:type="spellStart"/>
            <w:r w:rsidRPr="007E7CB0">
              <w:t>subsequent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presentation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created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educational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materials</w:t>
            </w:r>
            <w:proofErr w:type="spellEnd"/>
            <w:r w:rsidRPr="007E7CB0">
              <w:t>.</w:t>
            </w:r>
          </w:p>
        </w:tc>
      </w:tr>
      <w:tr w:rsidR="00A938EA" w:rsidRPr="00616265" w14:paraId="0F02E116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590ADF" w14:textId="77777777" w:rsidR="00A938EA" w:rsidRPr="00616265" w:rsidRDefault="00A938EA" w:rsidP="007E0EFF">
            <w:r w:rsidRPr="00616265">
              <w:rPr>
                <w:b/>
                <w:bCs/>
              </w:rPr>
              <w:t>Zakončení předmětu:</w:t>
            </w:r>
          </w:p>
        </w:tc>
      </w:tr>
      <w:tr w:rsidR="00A938EA" w:rsidRPr="00616265" w14:paraId="1702E676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1B4D2" w14:textId="077AF9FE" w:rsidR="00A938EA" w:rsidRPr="00616265" w:rsidRDefault="00A938EA" w:rsidP="007E0EFF"/>
        </w:tc>
      </w:tr>
      <w:tr w:rsidR="00A938EA" w:rsidRPr="00616265" w14:paraId="4673B543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49DB9E" w14:textId="34DBAB59" w:rsidR="00A938EA" w:rsidRDefault="00A938EA" w:rsidP="007E0EFF"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course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is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concluded</w:t>
            </w:r>
            <w:proofErr w:type="spellEnd"/>
            <w:r w:rsidRPr="007E7CB0">
              <w:t xml:space="preserve"> in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form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a </w:t>
            </w:r>
            <w:proofErr w:type="spellStart"/>
            <w:r w:rsidRPr="007E7CB0">
              <w:t>credit</w:t>
            </w:r>
            <w:proofErr w:type="spellEnd"/>
            <w:r w:rsidRPr="007E7CB0">
              <w:t xml:space="preserve">, </w:t>
            </w:r>
            <w:proofErr w:type="spellStart"/>
            <w:r w:rsidRPr="007E7CB0">
              <w:t>which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students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will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receive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after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submitting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evaluat</w:t>
            </w:r>
            <w:r>
              <w:t>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design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 w:rsidRPr="007E7CB0">
              <w:t>teaching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materials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courses</w:t>
            </w:r>
            <w:proofErr w:type="spellEnd"/>
            <w:r w:rsidRPr="007E7CB0">
              <w:t xml:space="preserve">.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submitted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materials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will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be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evaluated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based</w:t>
            </w:r>
            <w:proofErr w:type="spellEnd"/>
            <w:r w:rsidRPr="007E7CB0">
              <w:t xml:space="preserve"> on </w:t>
            </w:r>
            <w:proofErr w:type="spellStart"/>
            <w:r w:rsidRPr="007E7CB0">
              <w:t>their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topicality</w:t>
            </w:r>
            <w:proofErr w:type="spellEnd"/>
            <w:r w:rsidRPr="007E7CB0">
              <w:t xml:space="preserve"> (relevance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chosen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problem</w:t>
            </w:r>
            <w:proofErr w:type="spellEnd"/>
            <w:r w:rsidRPr="007E7CB0">
              <w:t xml:space="preserve">), </w:t>
            </w:r>
            <w:proofErr w:type="spellStart"/>
            <w:r w:rsidRPr="007E7CB0">
              <w:t>accuracy</w:t>
            </w:r>
            <w:proofErr w:type="spellEnd"/>
            <w:r w:rsidRPr="007E7CB0">
              <w:t xml:space="preserve"> (</w:t>
            </w:r>
            <w:proofErr w:type="spellStart"/>
            <w:r w:rsidRPr="007E7CB0">
              <w:t>quality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presentation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information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conveyed</w:t>
            </w:r>
            <w:proofErr w:type="spellEnd"/>
            <w:r w:rsidRPr="007E7CB0">
              <w:t>), originality (</w:t>
            </w:r>
            <w:proofErr w:type="spellStart"/>
            <w:r w:rsidRPr="007E7CB0">
              <w:t>method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of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presentation</w:t>
            </w:r>
            <w:proofErr w:type="spellEnd"/>
            <w:r w:rsidRPr="007E7CB0">
              <w:t xml:space="preserve"> and </w:t>
            </w:r>
            <w:proofErr w:type="spellStart"/>
            <w:r w:rsidRPr="007E7CB0">
              <w:t>ability</w:t>
            </w:r>
            <w:proofErr w:type="spellEnd"/>
            <w:r w:rsidRPr="007E7CB0">
              <w:t xml:space="preserve"> to </w:t>
            </w:r>
            <w:proofErr w:type="spellStart"/>
            <w:r w:rsidRPr="007E7CB0">
              <w:t>engage</w:t>
            </w:r>
            <w:proofErr w:type="spellEnd"/>
            <w:r w:rsidRPr="007E7CB0">
              <w:t xml:space="preserve"> </w:t>
            </w:r>
            <w:proofErr w:type="spellStart"/>
            <w:r w:rsidRPr="007E7CB0">
              <w:t>the</w:t>
            </w:r>
            <w:proofErr w:type="spellEnd"/>
            <w:r w:rsidRPr="007E7CB0">
              <w:t xml:space="preserve"> public)</w:t>
            </w:r>
          </w:p>
          <w:p w14:paraId="406F567F" w14:textId="77777777" w:rsidR="00B158C9" w:rsidRDefault="00B158C9" w:rsidP="007E0EFF"/>
          <w:p w14:paraId="654FEE3E" w14:textId="77777777" w:rsidR="00A938EA" w:rsidRPr="00616265" w:rsidRDefault="00A938EA" w:rsidP="007E0EFF"/>
        </w:tc>
      </w:tr>
      <w:tr w:rsidR="00A938EA" w:rsidRPr="00616265" w14:paraId="20B0E7A5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FDA507" w14:textId="77777777" w:rsidR="00A938EA" w:rsidRPr="00616265" w:rsidRDefault="00A938EA" w:rsidP="007E0EFF">
            <w:r w:rsidRPr="00616265">
              <w:rPr>
                <w:b/>
                <w:bCs/>
              </w:rPr>
              <w:t>Literatura:</w:t>
            </w:r>
          </w:p>
        </w:tc>
      </w:tr>
      <w:tr w:rsidR="00A938EA" w:rsidRPr="00616265" w14:paraId="174D7594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A938EA" w:rsidRPr="00616265" w14:paraId="257EC518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DB36036" w14:textId="77777777" w:rsidR="00A938EA" w:rsidRPr="00616265" w:rsidRDefault="00A938EA" w:rsidP="007E0EFF">
                  <w:r w:rsidRPr="00616265">
                    <w:rPr>
                      <w:b/>
                      <w:bCs/>
                    </w:rPr>
                    <w:t>Základní:</w:t>
                  </w:r>
                </w:p>
              </w:tc>
            </w:tr>
            <w:tr w:rsidR="00A938EA" w:rsidRPr="00616265" w14:paraId="64EA8E39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52"/>
                  </w:tblGrid>
                  <w:tr w:rsidR="00A938EA" w:rsidRPr="00616265" w14:paraId="62F322C7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0B5BFC85" w14:textId="77777777" w:rsidR="00A938EA" w:rsidRPr="00616265" w:rsidRDefault="00A938EA" w:rsidP="007E0EFF">
                        <w:proofErr w:type="spellStart"/>
                        <w:r w:rsidRPr="00616265">
                          <w:t>Stumm</w:t>
                        </w:r>
                        <w:proofErr w:type="spellEnd"/>
                        <w:r w:rsidRPr="00616265">
                          <w:t xml:space="preserve">, W., Morgan, J.J. (1996). </w:t>
                        </w:r>
                        <w:proofErr w:type="spellStart"/>
                        <w:r w:rsidRPr="00616265">
                          <w:t>Aquatic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chemistry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chemical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equilibria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rates</w:t>
                        </w:r>
                        <w:proofErr w:type="spellEnd"/>
                        <w:r w:rsidRPr="00616265">
                          <w:t xml:space="preserve"> in natural </w:t>
                        </w:r>
                        <w:proofErr w:type="spellStart"/>
                        <w:r w:rsidRPr="00616265">
                          <w:t>waters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Wiley</w:t>
                        </w:r>
                        <w:proofErr w:type="spellEnd"/>
                        <w:r w:rsidRPr="00616265">
                          <w:t>, 1022p</w:t>
                        </w:r>
                      </w:p>
                    </w:tc>
                  </w:tr>
                  <w:tr w:rsidR="00A938EA" w:rsidRPr="00616265" w14:paraId="5E989255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248A096E" w14:textId="77777777" w:rsidR="00A938EA" w:rsidRPr="00616265" w:rsidRDefault="00A938EA" w:rsidP="007E0EFF">
                        <w:proofErr w:type="spellStart"/>
                        <w:r w:rsidRPr="00616265">
                          <w:t>Mason</w:t>
                        </w:r>
                        <w:proofErr w:type="spellEnd"/>
                        <w:r w:rsidRPr="00616265">
                          <w:t xml:space="preserve">, C. (2002). Biology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freshwater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pollution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Pearson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Education</w:t>
                        </w:r>
                        <w:proofErr w:type="spellEnd"/>
                        <w:r w:rsidRPr="00616265">
                          <w:t xml:space="preserve"> Limited. Essex. 376p,</w:t>
                        </w:r>
                      </w:p>
                    </w:tc>
                  </w:tr>
                  <w:tr w:rsidR="00A938EA" w:rsidRPr="00616265" w14:paraId="18CDB330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1E32AAC3" w14:textId="77777777" w:rsidR="00A938EA" w:rsidRPr="00616265" w:rsidRDefault="00A938EA" w:rsidP="007E0EFF">
                        <w:proofErr w:type="spellStart"/>
                        <w:r w:rsidRPr="00616265">
                          <w:t>Laws</w:t>
                        </w:r>
                        <w:proofErr w:type="spellEnd"/>
                        <w:r w:rsidRPr="00616265">
                          <w:t xml:space="preserve">, E.A. (2000). </w:t>
                        </w:r>
                        <w:proofErr w:type="spellStart"/>
                        <w:r w:rsidRPr="00616265">
                          <w:t>Aquatic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pollution</w:t>
                        </w:r>
                        <w:proofErr w:type="spellEnd"/>
                        <w:r w:rsidRPr="00616265">
                          <w:t xml:space="preserve">. An </w:t>
                        </w:r>
                        <w:proofErr w:type="spellStart"/>
                        <w:r w:rsidRPr="00616265">
                          <w:t>Introductory</w:t>
                        </w:r>
                        <w:proofErr w:type="spellEnd"/>
                        <w:r w:rsidRPr="00616265">
                          <w:t xml:space="preserve"> text. John </w:t>
                        </w:r>
                        <w:proofErr w:type="spellStart"/>
                        <w:r w:rsidRPr="00616265">
                          <w:t>Wiley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sons</w:t>
                        </w:r>
                        <w:proofErr w:type="spellEnd"/>
                        <w:r w:rsidRPr="00616265">
                          <w:t>, New York, 632p.</w:t>
                        </w:r>
                      </w:p>
                    </w:tc>
                  </w:tr>
                  <w:tr w:rsidR="00A938EA" w:rsidRPr="00616265" w14:paraId="4C541A5D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266002B1" w14:textId="77777777" w:rsidR="00A938EA" w:rsidRPr="00616265" w:rsidRDefault="00A938EA" w:rsidP="007E0EFF">
                        <w:proofErr w:type="spellStart"/>
                        <w:r w:rsidRPr="00616265">
                          <w:t>Butler</w:t>
                        </w:r>
                        <w:proofErr w:type="spellEnd"/>
                        <w:r w:rsidRPr="00616265">
                          <w:t xml:space="preserve">, D., </w:t>
                        </w:r>
                        <w:proofErr w:type="spellStart"/>
                        <w:r w:rsidRPr="00616265">
                          <w:t>Davies</w:t>
                        </w:r>
                        <w:proofErr w:type="spellEnd"/>
                        <w:r w:rsidRPr="00616265">
                          <w:t xml:space="preserve">, J (2011). Urban </w:t>
                        </w:r>
                        <w:proofErr w:type="spellStart"/>
                        <w:r w:rsidRPr="00616265">
                          <w:t>Drainage</w:t>
                        </w:r>
                        <w:proofErr w:type="spellEnd"/>
                        <w:r w:rsidRPr="00616265">
                          <w:t xml:space="preserve"> (</w:t>
                        </w:r>
                        <w:proofErr w:type="spellStart"/>
                        <w:r w:rsidRPr="00616265">
                          <w:t>third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edition</w:t>
                        </w:r>
                        <w:proofErr w:type="spellEnd"/>
                        <w:r w:rsidRPr="00616265">
                          <w:t>), Taylor and Francis, London</w:t>
                        </w:r>
                      </w:p>
                    </w:tc>
                  </w:tr>
                  <w:tr w:rsidR="00A938EA" w:rsidRPr="00616265" w14:paraId="5AD8E4CF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5184485C" w14:textId="77777777" w:rsidR="00A938EA" w:rsidRPr="00616265" w:rsidRDefault="00A938EA" w:rsidP="007E0EFF">
                        <w:proofErr w:type="spellStart"/>
                        <w:r w:rsidRPr="00616265">
                          <w:t>Joanne</w:t>
                        </w:r>
                        <w:proofErr w:type="spellEnd"/>
                        <w:r w:rsidRPr="00616265">
                          <w:t xml:space="preserve"> E. </w:t>
                        </w:r>
                        <w:proofErr w:type="spellStart"/>
                        <w:r w:rsidRPr="00616265">
                          <w:t>Drinan</w:t>
                        </w:r>
                        <w:proofErr w:type="spellEnd"/>
                        <w:r w:rsidRPr="00616265">
                          <w:t xml:space="preserve"> and Frank </w:t>
                        </w:r>
                        <w:proofErr w:type="spellStart"/>
                        <w:r w:rsidRPr="00616265">
                          <w:t>Spellman</w:t>
                        </w:r>
                        <w:proofErr w:type="spellEnd"/>
                        <w:r w:rsidRPr="00616265">
                          <w:t xml:space="preserve"> (2012). </w:t>
                        </w:r>
                        <w:proofErr w:type="spellStart"/>
                        <w:r w:rsidRPr="00616265">
                          <w:t>Water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Wastewater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Treatment</w:t>
                        </w:r>
                        <w:proofErr w:type="spellEnd"/>
                        <w:r w:rsidRPr="00616265">
                          <w:t xml:space="preserve"> A </w:t>
                        </w:r>
                        <w:proofErr w:type="spellStart"/>
                        <w:r w:rsidRPr="00616265">
                          <w:t>Guide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for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the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Nonengineering</w:t>
                        </w:r>
                        <w:proofErr w:type="spellEnd"/>
                        <w:r w:rsidRPr="00616265">
                          <w:t xml:space="preserve"> Professional, Second </w:t>
                        </w:r>
                        <w:proofErr w:type="spellStart"/>
                        <w:r w:rsidRPr="00616265">
                          <w:t>Edition</w:t>
                        </w:r>
                        <w:proofErr w:type="spellEnd"/>
                      </w:p>
                    </w:tc>
                  </w:tr>
                  <w:tr w:rsidR="00A938EA" w:rsidRPr="00616265" w14:paraId="11E4A833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4DCECEE9" w14:textId="77777777" w:rsidR="00A938EA" w:rsidRPr="00616265" w:rsidRDefault="00A938EA" w:rsidP="007E0EFF">
                        <w:r w:rsidRPr="00616265">
                          <w:t xml:space="preserve">D. G. </w:t>
                        </w:r>
                        <w:proofErr w:type="spellStart"/>
                        <w:r w:rsidRPr="00616265">
                          <w:t>Rao</w:t>
                        </w:r>
                        <w:proofErr w:type="spellEnd"/>
                        <w:r w:rsidRPr="00616265">
                          <w:t xml:space="preserve">, R. </w:t>
                        </w:r>
                        <w:proofErr w:type="spellStart"/>
                        <w:r w:rsidRPr="00616265">
                          <w:t>Senthilkumar</w:t>
                        </w:r>
                        <w:proofErr w:type="spellEnd"/>
                        <w:r w:rsidRPr="00616265">
                          <w:t xml:space="preserve">, J. Anthony </w:t>
                        </w:r>
                        <w:proofErr w:type="spellStart"/>
                        <w:r w:rsidRPr="00616265">
                          <w:t>Byrne</w:t>
                        </w:r>
                        <w:proofErr w:type="spellEnd"/>
                        <w:r w:rsidRPr="00616265">
                          <w:t xml:space="preserve"> and S. </w:t>
                        </w:r>
                        <w:proofErr w:type="spellStart"/>
                        <w:r w:rsidRPr="00616265">
                          <w:t>Feroz</w:t>
                        </w:r>
                        <w:proofErr w:type="spellEnd"/>
                        <w:r w:rsidRPr="00616265">
                          <w:t xml:space="preserve"> (2012). </w:t>
                        </w:r>
                        <w:proofErr w:type="spellStart"/>
                        <w:r w:rsidRPr="00616265">
                          <w:t>Wastewater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Treatment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Advanced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Processes</w:t>
                        </w:r>
                        <w:proofErr w:type="spellEnd"/>
                        <w:r w:rsidRPr="00616265">
                          <w:t xml:space="preserve"> and Technologies. IWA </w:t>
                        </w:r>
                        <w:proofErr w:type="spellStart"/>
                        <w:r w:rsidRPr="00616265">
                          <w:t>Publishing</w:t>
                        </w:r>
                        <w:proofErr w:type="spellEnd"/>
                        <w:r w:rsidRPr="00616265">
                          <w:t xml:space="preserve">, CRC </w:t>
                        </w:r>
                        <w:proofErr w:type="spellStart"/>
                        <w:r w:rsidRPr="00616265">
                          <w:t>Press</w:t>
                        </w:r>
                        <w:proofErr w:type="spellEnd"/>
                      </w:p>
                    </w:tc>
                  </w:tr>
                  <w:tr w:rsidR="00A938EA" w:rsidRPr="00616265" w14:paraId="2B39163A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0C15610E" w14:textId="77777777" w:rsidR="00A938EA" w:rsidRPr="00616265" w:rsidRDefault="00A938EA" w:rsidP="007E0EFF">
                        <w:r w:rsidRPr="00616265">
                          <w:t xml:space="preserve">Kerry J. </w:t>
                        </w:r>
                        <w:proofErr w:type="spellStart"/>
                        <w:r w:rsidRPr="00616265">
                          <w:t>Howe,David</w:t>
                        </w:r>
                        <w:proofErr w:type="spellEnd"/>
                        <w:r w:rsidRPr="00616265">
                          <w:t xml:space="preserve"> W. </w:t>
                        </w:r>
                        <w:proofErr w:type="spellStart"/>
                        <w:r w:rsidRPr="00616265">
                          <w:t>Hand,John</w:t>
                        </w:r>
                        <w:proofErr w:type="spellEnd"/>
                        <w:r w:rsidRPr="00616265">
                          <w:t xml:space="preserve"> C. </w:t>
                        </w:r>
                        <w:proofErr w:type="spellStart"/>
                        <w:r w:rsidRPr="00616265">
                          <w:t>Crittenden,R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Rhodes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Trussell,George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Tchobanoglous</w:t>
                        </w:r>
                        <w:proofErr w:type="spellEnd"/>
                        <w:r w:rsidRPr="00616265">
                          <w:t xml:space="preserve">. (2012) </w:t>
                        </w:r>
                        <w:proofErr w:type="spellStart"/>
                        <w:r w:rsidRPr="00616265">
                          <w:t>Principles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Treatment</w:t>
                        </w:r>
                        <w:proofErr w:type="spellEnd"/>
                        <w:r w:rsidRPr="00616265">
                          <w:t xml:space="preserve">. MWH. John </w:t>
                        </w:r>
                        <w:proofErr w:type="spellStart"/>
                        <w:r w:rsidRPr="00616265">
                          <w:t>Wiley</w:t>
                        </w:r>
                        <w:proofErr w:type="spellEnd"/>
                        <w:r w:rsidRPr="00616265">
                          <w:t xml:space="preserve"> &amp; </w:t>
                        </w:r>
                        <w:proofErr w:type="spellStart"/>
                        <w:r w:rsidRPr="00616265">
                          <w:t>Sons</w:t>
                        </w:r>
                        <w:proofErr w:type="spellEnd"/>
                      </w:p>
                    </w:tc>
                  </w:tr>
                  <w:tr w:rsidR="00A938EA" w:rsidRPr="00616265" w14:paraId="0CD3DDAF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</w:tcPr>
                      <w:p w14:paraId="48167521" w14:textId="77777777" w:rsidR="00A938EA" w:rsidRDefault="00A938EA" w:rsidP="007E0EFF">
                        <w:proofErr w:type="spellStart"/>
                        <w:r w:rsidRPr="00A970B6">
                          <w:t>Chartres</w:t>
                        </w:r>
                        <w:proofErr w:type="spellEnd"/>
                        <w:r w:rsidRPr="00A970B6">
                          <w:t>, C. (2010). </w:t>
                        </w:r>
                        <w:proofErr w:type="spellStart"/>
                        <w:r w:rsidRPr="00A970B6">
                          <w:t>Solving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the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World's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Water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Problems</w:t>
                        </w:r>
                        <w:proofErr w:type="spellEnd"/>
                        <w:r w:rsidRPr="00A970B6">
                          <w:t>. Velká Británie: </w:t>
                        </w:r>
                        <w:proofErr w:type="spellStart"/>
                        <w:r w:rsidRPr="00A970B6">
                          <w:t>Pearson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Education</w:t>
                        </w:r>
                        <w:proofErr w:type="spellEnd"/>
                        <w:r w:rsidRPr="00A970B6">
                          <w:t>.</w:t>
                        </w:r>
                      </w:p>
                      <w:p w14:paraId="20984676" w14:textId="77777777" w:rsidR="00A938EA" w:rsidRPr="00616265" w:rsidRDefault="00A938EA" w:rsidP="007E0EFF">
                        <w:r w:rsidRPr="00A970B6">
                          <w:t>Newton, D. E. (2016). </w:t>
                        </w:r>
                        <w:proofErr w:type="spellStart"/>
                        <w:r w:rsidRPr="00A970B6">
                          <w:t>The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Global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Water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Crisis</w:t>
                        </w:r>
                        <w:proofErr w:type="spellEnd"/>
                        <w:r w:rsidRPr="00A970B6">
                          <w:t>: A Reference Handbook. Spojené státy americké: </w:t>
                        </w:r>
                        <w:proofErr w:type="spellStart"/>
                        <w:r w:rsidRPr="00A970B6">
                          <w:t>Bloomsbury</w:t>
                        </w:r>
                        <w:proofErr w:type="spellEnd"/>
                        <w:r w:rsidRPr="00A970B6">
                          <w:t xml:space="preserve"> </w:t>
                        </w:r>
                        <w:proofErr w:type="spellStart"/>
                        <w:r w:rsidRPr="00A970B6">
                          <w:t>Publishing</w:t>
                        </w:r>
                        <w:proofErr w:type="spellEnd"/>
                        <w:r w:rsidRPr="00A970B6">
                          <w:t>.</w:t>
                        </w:r>
                      </w:p>
                    </w:tc>
                  </w:tr>
                  <w:tr w:rsidR="00A938EA" w:rsidRPr="00616265" w14:paraId="1F91BA82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36EC3A9F" w14:textId="77777777" w:rsidR="00A938EA" w:rsidRPr="00616265" w:rsidRDefault="00A938EA" w:rsidP="007E0EFF">
                        <w:proofErr w:type="spellStart"/>
                        <w:r w:rsidRPr="00616265">
                          <w:t>Lofrano</w:t>
                        </w:r>
                        <w:proofErr w:type="spellEnd"/>
                        <w:r w:rsidRPr="00616265">
                          <w:t xml:space="preserve">, </w:t>
                        </w:r>
                        <w:proofErr w:type="spellStart"/>
                        <w:r w:rsidRPr="00616265">
                          <w:t>Giusy</w:t>
                        </w:r>
                        <w:proofErr w:type="spellEnd"/>
                        <w:r w:rsidRPr="00616265">
                          <w:t xml:space="preserve"> (Ed.) Green Technologies </w:t>
                        </w:r>
                        <w:proofErr w:type="spellStart"/>
                        <w:r w:rsidRPr="00616265">
                          <w:t>for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Wastewater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Treatment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Energy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Recovery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Emerging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Compounds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Removal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Series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SpringerBriefs</w:t>
                        </w:r>
                        <w:proofErr w:type="spellEnd"/>
                        <w:r w:rsidRPr="00616265">
                          <w:t xml:space="preserve"> in </w:t>
                        </w:r>
                        <w:proofErr w:type="spellStart"/>
                        <w:r w:rsidRPr="00616265">
                          <w:t>Molecular</w:t>
                        </w:r>
                        <w:proofErr w:type="spellEnd"/>
                        <w:r w:rsidRPr="00616265">
                          <w:t xml:space="preserve"> Science </w:t>
                        </w:r>
                        <w:proofErr w:type="spellStart"/>
                        <w:r w:rsidRPr="00616265">
                          <w:t>Subseries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SpringerBriefs</w:t>
                        </w:r>
                        <w:proofErr w:type="spellEnd"/>
                        <w:r w:rsidRPr="00616265">
                          <w:t xml:space="preserve"> in Green </w:t>
                        </w:r>
                        <w:proofErr w:type="spellStart"/>
                        <w:r w:rsidRPr="00616265">
                          <w:t>Chemistry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for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Sustainability</w:t>
                        </w:r>
                        <w:proofErr w:type="spellEnd"/>
                      </w:p>
                    </w:tc>
                  </w:tr>
                </w:tbl>
                <w:p w14:paraId="34ACD16A" w14:textId="77777777" w:rsidR="00A938EA" w:rsidRPr="00616265" w:rsidRDefault="00A938EA" w:rsidP="007E0EFF"/>
              </w:tc>
            </w:tr>
            <w:tr w:rsidR="00A938EA" w:rsidRPr="00616265" w14:paraId="77EF7C54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55EFBD3" w14:textId="77777777" w:rsidR="00A938EA" w:rsidRPr="00616265" w:rsidRDefault="00A938EA" w:rsidP="007E0EFF"/>
              </w:tc>
            </w:tr>
            <w:tr w:rsidR="00A938EA" w:rsidRPr="00616265" w14:paraId="3E3AD3EF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981A8F0" w14:textId="77777777" w:rsidR="00A938EA" w:rsidRPr="00616265" w:rsidRDefault="00A938EA" w:rsidP="007E0EFF">
                  <w:r w:rsidRPr="00616265">
                    <w:rPr>
                      <w:b/>
                      <w:bCs/>
                    </w:rPr>
                    <w:lastRenderedPageBreak/>
                    <w:t>Doporučená:</w:t>
                  </w:r>
                </w:p>
              </w:tc>
            </w:tr>
            <w:tr w:rsidR="00A938EA" w:rsidRPr="00616265" w14:paraId="3DCA1FAD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52"/>
                  </w:tblGrid>
                  <w:tr w:rsidR="00A938EA" w:rsidRPr="00616265" w14:paraId="68C7FDCD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71E13C02" w14:textId="77777777" w:rsidR="00A938EA" w:rsidRPr="00616265" w:rsidRDefault="00A938EA" w:rsidP="007E0EFF">
                        <w:proofErr w:type="spellStart"/>
                        <w:r w:rsidRPr="00616265">
                          <w:t>Henze</w:t>
                        </w:r>
                        <w:proofErr w:type="spellEnd"/>
                        <w:r w:rsidRPr="00616265">
                          <w:t xml:space="preserve">, M., </w:t>
                        </w:r>
                        <w:proofErr w:type="spellStart"/>
                        <w:r w:rsidRPr="00616265">
                          <w:t>Harremoes</w:t>
                        </w:r>
                        <w:proofErr w:type="spellEnd"/>
                        <w:r w:rsidRPr="00616265">
                          <w:t xml:space="preserve">, P., </w:t>
                        </w:r>
                        <w:proofErr w:type="spellStart"/>
                        <w:r w:rsidRPr="00616265">
                          <w:t>Arvin</w:t>
                        </w:r>
                        <w:proofErr w:type="spellEnd"/>
                        <w:r w:rsidRPr="00616265">
                          <w:t xml:space="preserve">, E., </w:t>
                        </w:r>
                        <w:proofErr w:type="spellStart"/>
                        <w:r w:rsidRPr="00616265">
                          <w:t>Jansen</w:t>
                        </w:r>
                        <w:proofErr w:type="spellEnd"/>
                        <w:r w:rsidRPr="00616265">
                          <w:t xml:space="preserve">, J.C. (2002). </w:t>
                        </w:r>
                        <w:proofErr w:type="spellStart"/>
                        <w:r w:rsidRPr="00616265">
                          <w:t>Waste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Treatment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Biological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Chemical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Processes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Sprionger</w:t>
                        </w:r>
                        <w:proofErr w:type="spellEnd"/>
                        <w:r w:rsidRPr="00616265">
                          <w:t xml:space="preserve"> - </w:t>
                        </w:r>
                        <w:proofErr w:type="spellStart"/>
                        <w:r w:rsidRPr="00616265">
                          <w:t>Verlag</w:t>
                        </w:r>
                        <w:proofErr w:type="spellEnd"/>
                        <w:r w:rsidRPr="00616265">
                          <w:t xml:space="preserve">, </w:t>
                        </w:r>
                        <w:proofErr w:type="spellStart"/>
                        <w:r w:rsidRPr="00616265">
                          <w:t>Berlin</w:t>
                        </w:r>
                        <w:proofErr w:type="spellEnd"/>
                        <w:r w:rsidRPr="00616265">
                          <w:t>, 433p.,</w:t>
                        </w:r>
                      </w:p>
                    </w:tc>
                  </w:tr>
                  <w:tr w:rsidR="00A938EA" w:rsidRPr="00616265" w14:paraId="255AF932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5B60A306" w14:textId="77777777" w:rsidR="00A938EA" w:rsidRPr="00616265" w:rsidRDefault="00A938EA" w:rsidP="007E0EFF">
                        <w:proofErr w:type="spellStart"/>
                        <w:r w:rsidRPr="00616265">
                          <w:t>Lens,P</w:t>
                        </w:r>
                        <w:proofErr w:type="spellEnd"/>
                        <w:r w:rsidRPr="00616265">
                          <w:t xml:space="preserve">., </w:t>
                        </w:r>
                        <w:proofErr w:type="spellStart"/>
                        <w:r w:rsidRPr="00616265">
                          <w:t>Zeeman</w:t>
                        </w:r>
                        <w:proofErr w:type="spellEnd"/>
                        <w:r w:rsidRPr="00616265">
                          <w:t xml:space="preserve">, G. ,2001 </w:t>
                        </w:r>
                        <w:proofErr w:type="spellStart"/>
                        <w:r w:rsidRPr="00616265">
                          <w:t>Decentralised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Sanitation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Reuse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Concepts</w:t>
                        </w:r>
                        <w:proofErr w:type="spellEnd"/>
                        <w:r w:rsidRPr="00616265">
                          <w:t xml:space="preserve">, Systems and </w:t>
                        </w:r>
                        <w:proofErr w:type="spellStart"/>
                        <w:r w:rsidRPr="00616265">
                          <w:t>Implementation</w:t>
                        </w:r>
                        <w:proofErr w:type="spellEnd"/>
                        <w:r w:rsidRPr="00616265">
                          <w:t xml:space="preserve">. Taylor &amp; Francis Group. 8) </w:t>
                        </w:r>
                        <w:proofErr w:type="spellStart"/>
                        <w:r w:rsidRPr="00616265">
                          <w:t>Rumana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Riffat</w:t>
                        </w:r>
                        <w:proofErr w:type="spellEnd"/>
                        <w:r w:rsidRPr="00616265">
                          <w:t xml:space="preserve"> (2013).Fundamentals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Wastewater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Treatment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Engineering</w:t>
                        </w:r>
                        <w:proofErr w:type="spellEnd"/>
                        <w:r w:rsidRPr="00616265">
                          <w:t xml:space="preserve">. IWA </w:t>
                        </w:r>
                        <w:proofErr w:type="spellStart"/>
                        <w:r w:rsidRPr="00616265">
                          <w:t>Publishing</w:t>
                        </w:r>
                        <w:proofErr w:type="spellEnd"/>
                      </w:p>
                    </w:tc>
                  </w:tr>
                  <w:tr w:rsidR="00A938EA" w:rsidRPr="00616265" w14:paraId="36542FA1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2E16A8BD" w14:textId="77777777" w:rsidR="00A938EA" w:rsidRPr="00616265" w:rsidRDefault="00A938EA" w:rsidP="007E0EFF">
                        <w:r w:rsidRPr="00616265">
                          <w:t xml:space="preserve">A. M. </w:t>
                        </w:r>
                        <w:proofErr w:type="spellStart"/>
                        <w:r w:rsidRPr="00616265">
                          <w:t>Makarieva</w:t>
                        </w:r>
                        <w:proofErr w:type="spellEnd"/>
                        <w:r w:rsidRPr="00616265">
                          <w:t xml:space="preserve"> and V. G. </w:t>
                        </w:r>
                        <w:proofErr w:type="spellStart"/>
                        <w:r w:rsidRPr="00616265">
                          <w:t>Gorshkov</w:t>
                        </w:r>
                        <w:proofErr w:type="spellEnd"/>
                        <w:r w:rsidRPr="00616265">
                          <w:t xml:space="preserve"> (2007). </w:t>
                        </w:r>
                        <w:proofErr w:type="spellStart"/>
                        <w:r w:rsidRPr="00616265">
                          <w:t>Biotic</w:t>
                        </w:r>
                        <w:proofErr w:type="spellEnd"/>
                        <w:r w:rsidRPr="00616265">
                          <w:t xml:space="preserve"> pump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atmospheric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moisture</w:t>
                        </w:r>
                        <w:proofErr w:type="spellEnd"/>
                        <w:r w:rsidRPr="00616265">
                          <w:t xml:space="preserve"> as driver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the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hydrological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cycle</w:t>
                        </w:r>
                        <w:proofErr w:type="spellEnd"/>
                        <w:r w:rsidRPr="00616265">
                          <w:t xml:space="preserve"> on </w:t>
                        </w:r>
                        <w:proofErr w:type="spellStart"/>
                        <w:r w:rsidRPr="00616265">
                          <w:t>land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Hydrol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Earth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Syst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Sci</w:t>
                        </w:r>
                        <w:proofErr w:type="spellEnd"/>
                        <w:r w:rsidRPr="00616265">
                          <w:t>., 11, 1013–1033</w:t>
                        </w:r>
                      </w:p>
                    </w:tc>
                  </w:tr>
                  <w:tr w:rsidR="00A938EA" w:rsidRPr="00616265" w14:paraId="5453627B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56B40C94" w14:textId="77777777" w:rsidR="00A938EA" w:rsidRPr="00616265" w:rsidRDefault="00A938EA" w:rsidP="007E0EFF">
                        <w:proofErr w:type="spellStart"/>
                        <w:r w:rsidRPr="00616265">
                          <w:t>Makarieva</w:t>
                        </w:r>
                        <w:proofErr w:type="spellEnd"/>
                        <w:r w:rsidRPr="00616265">
                          <w:t xml:space="preserve"> A.M., </w:t>
                        </w:r>
                        <w:proofErr w:type="spellStart"/>
                        <w:r w:rsidRPr="00616265">
                          <w:t>Gorshkov</w:t>
                        </w:r>
                        <w:proofErr w:type="spellEnd"/>
                        <w:r w:rsidRPr="00616265">
                          <w:t xml:space="preserve"> V.G., Sheil D., </w:t>
                        </w:r>
                        <w:proofErr w:type="spellStart"/>
                        <w:r w:rsidRPr="00616265">
                          <w:t>Nobre</w:t>
                        </w:r>
                        <w:proofErr w:type="spellEnd"/>
                        <w:r w:rsidRPr="00616265">
                          <w:t xml:space="preserve"> A.D., </w:t>
                        </w:r>
                        <w:proofErr w:type="spellStart"/>
                        <w:r w:rsidRPr="00616265">
                          <w:t>Li</w:t>
                        </w:r>
                        <w:proofErr w:type="spellEnd"/>
                        <w:r w:rsidRPr="00616265">
                          <w:t xml:space="preserve"> B.-L. (2010) </w:t>
                        </w:r>
                        <w:proofErr w:type="spellStart"/>
                        <w:r w:rsidRPr="00616265">
                          <w:t>Where</w:t>
                        </w:r>
                        <w:proofErr w:type="spellEnd"/>
                        <w:r w:rsidRPr="00616265">
                          <w:t xml:space="preserve"> do </w:t>
                        </w:r>
                        <w:proofErr w:type="spellStart"/>
                        <w:r w:rsidRPr="00616265">
                          <w:t>winds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come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from</w:t>
                        </w:r>
                        <w:proofErr w:type="spellEnd"/>
                        <w:r w:rsidRPr="00616265">
                          <w:t>? A </w:t>
                        </w:r>
                        <w:proofErr w:type="spellStart"/>
                        <w:r w:rsidRPr="00616265">
                          <w:t>new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theory</w:t>
                        </w:r>
                        <w:proofErr w:type="spellEnd"/>
                        <w:r w:rsidRPr="00616265">
                          <w:t xml:space="preserve"> on </w:t>
                        </w:r>
                        <w:proofErr w:type="spellStart"/>
                        <w:r w:rsidRPr="00616265">
                          <w:t>how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vapor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condensation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influences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atmospheric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pressure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dynamics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Atmospheric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Chemistry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Physics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Discussions</w:t>
                        </w:r>
                        <w:proofErr w:type="spellEnd"/>
                        <w:r w:rsidRPr="00616265">
                          <w:t>, 10, 24015- 24052.</w:t>
                        </w:r>
                      </w:p>
                    </w:tc>
                  </w:tr>
                  <w:tr w:rsidR="00A938EA" w:rsidRPr="00616265" w14:paraId="7D5BFC36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1DF5E4EC" w14:textId="77777777" w:rsidR="00A938EA" w:rsidRPr="00616265" w:rsidRDefault="00A938EA" w:rsidP="007E0EFF">
                        <w:proofErr w:type="spellStart"/>
                        <w:r w:rsidRPr="00616265">
                          <w:t>Meyer</w:t>
                        </w:r>
                        <w:proofErr w:type="spellEnd"/>
                        <w:r w:rsidRPr="00616265">
                          <w:t xml:space="preserve"> JL, Paul MJ, </w:t>
                        </w:r>
                        <w:proofErr w:type="spellStart"/>
                        <w:r w:rsidRPr="00616265">
                          <w:t>Taulbee</w:t>
                        </w:r>
                        <w:proofErr w:type="spellEnd"/>
                        <w:r w:rsidRPr="00616265">
                          <w:t xml:space="preserve"> WK (2005) Stream </w:t>
                        </w:r>
                        <w:proofErr w:type="spellStart"/>
                        <w:r w:rsidRPr="00616265">
                          <w:t>ecosystem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function</w:t>
                        </w:r>
                        <w:proofErr w:type="spellEnd"/>
                        <w:r w:rsidRPr="00616265">
                          <w:t xml:space="preserve"> in </w:t>
                        </w:r>
                        <w:proofErr w:type="spellStart"/>
                        <w:r w:rsidRPr="00616265">
                          <w:t>urbanizing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landscape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Journal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North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American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Benthological</w:t>
                        </w:r>
                        <w:proofErr w:type="spellEnd"/>
                        <w:r w:rsidRPr="00616265">
                          <w:t xml:space="preserve"> Society 24: 602-612</w:t>
                        </w:r>
                      </w:p>
                    </w:tc>
                  </w:tr>
                  <w:tr w:rsidR="00A938EA" w:rsidRPr="00616265" w14:paraId="6AEF5EC7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4CE79296" w14:textId="77777777" w:rsidR="00A938EA" w:rsidRPr="00616265" w:rsidRDefault="00A938EA" w:rsidP="007E0EFF">
                        <w:proofErr w:type="spellStart"/>
                        <w:r w:rsidRPr="00616265">
                          <w:t>Walsh</w:t>
                        </w:r>
                        <w:proofErr w:type="spellEnd"/>
                        <w:r w:rsidRPr="00616265">
                          <w:t xml:space="preserve"> CJ, </w:t>
                        </w:r>
                        <w:proofErr w:type="spellStart"/>
                        <w:r w:rsidRPr="00616265">
                          <w:t>Fletcher</w:t>
                        </w:r>
                        <w:proofErr w:type="spellEnd"/>
                        <w:r w:rsidRPr="00616265">
                          <w:t xml:space="preserve"> TD, </w:t>
                        </w:r>
                        <w:proofErr w:type="spellStart"/>
                        <w:r w:rsidRPr="00616265">
                          <w:t>Ladson</w:t>
                        </w:r>
                        <w:proofErr w:type="spellEnd"/>
                        <w:r w:rsidRPr="00616265">
                          <w:t xml:space="preserve"> AR (2005a) Stream </w:t>
                        </w:r>
                        <w:proofErr w:type="spellStart"/>
                        <w:r w:rsidRPr="00616265">
                          <w:t>restoration</w:t>
                        </w:r>
                        <w:proofErr w:type="spellEnd"/>
                        <w:r w:rsidRPr="00616265">
                          <w:t xml:space="preserve"> in </w:t>
                        </w:r>
                        <w:proofErr w:type="spellStart"/>
                        <w:r w:rsidRPr="00616265">
                          <w:t>urban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catchment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through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redesigning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stormwater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systems</w:t>
                        </w:r>
                        <w:proofErr w:type="spellEnd"/>
                        <w:r w:rsidRPr="00616265">
                          <w:t xml:space="preserve">: looping to </w:t>
                        </w:r>
                        <w:proofErr w:type="spellStart"/>
                        <w:r w:rsidRPr="00616265">
                          <w:t>the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catchment</w:t>
                        </w:r>
                        <w:proofErr w:type="spellEnd"/>
                        <w:r w:rsidRPr="00616265">
                          <w:t xml:space="preserve"> to </w:t>
                        </w:r>
                        <w:proofErr w:type="spellStart"/>
                        <w:r w:rsidRPr="00616265">
                          <w:t>save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the</w:t>
                        </w:r>
                        <w:proofErr w:type="spellEnd"/>
                        <w:r w:rsidRPr="00616265">
                          <w:t xml:space="preserve"> stream. </w:t>
                        </w:r>
                        <w:proofErr w:type="spellStart"/>
                        <w:r w:rsidRPr="00616265">
                          <w:t>Journal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North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American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Benthological</w:t>
                        </w:r>
                        <w:proofErr w:type="spellEnd"/>
                        <w:r w:rsidRPr="00616265">
                          <w:t xml:space="preserve"> Society 24:690-705</w:t>
                        </w:r>
                      </w:p>
                    </w:tc>
                  </w:tr>
                  <w:tr w:rsidR="00A938EA" w:rsidRPr="00616265" w14:paraId="247BD9F5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7C13F3C5" w14:textId="77777777" w:rsidR="00A938EA" w:rsidRPr="00616265" w:rsidRDefault="00A938EA" w:rsidP="007E0EFF">
                        <w:proofErr w:type="spellStart"/>
                        <w:r w:rsidRPr="00616265">
                          <w:t>Walsh</w:t>
                        </w:r>
                        <w:proofErr w:type="spellEnd"/>
                        <w:r w:rsidRPr="00616265">
                          <w:t xml:space="preserve"> CJ, Roy AH, </w:t>
                        </w:r>
                        <w:proofErr w:type="spellStart"/>
                        <w:r w:rsidRPr="00616265">
                          <w:t>Feminella</w:t>
                        </w:r>
                        <w:proofErr w:type="spellEnd"/>
                        <w:r w:rsidRPr="00616265">
                          <w:t xml:space="preserve"> JW, </w:t>
                        </w:r>
                        <w:proofErr w:type="spellStart"/>
                        <w:r w:rsidRPr="00616265">
                          <w:t>Cottingham</w:t>
                        </w:r>
                        <w:proofErr w:type="spellEnd"/>
                        <w:r w:rsidRPr="00616265">
                          <w:t xml:space="preserve"> PD, </w:t>
                        </w:r>
                        <w:proofErr w:type="spellStart"/>
                        <w:r w:rsidRPr="00616265">
                          <w:t>Groffman</w:t>
                        </w:r>
                        <w:proofErr w:type="spellEnd"/>
                        <w:r w:rsidRPr="00616265">
                          <w:t xml:space="preserve"> PM, Morgan II RP (2005b) </w:t>
                        </w:r>
                        <w:proofErr w:type="spellStart"/>
                        <w:r w:rsidRPr="00616265">
                          <w:t>The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urban</w:t>
                        </w:r>
                        <w:proofErr w:type="spellEnd"/>
                        <w:r w:rsidRPr="00616265">
                          <w:t xml:space="preserve"> stream syndrome: </w:t>
                        </w:r>
                        <w:proofErr w:type="spellStart"/>
                        <w:r w:rsidRPr="00616265">
                          <w:t>current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knowledge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the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search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for</w:t>
                        </w:r>
                        <w:proofErr w:type="spellEnd"/>
                        <w:r w:rsidRPr="00616265">
                          <w:t xml:space="preserve"> a </w:t>
                        </w:r>
                        <w:proofErr w:type="spellStart"/>
                        <w:r w:rsidRPr="00616265">
                          <w:t>cure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Journal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North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American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Benthological</w:t>
                        </w:r>
                        <w:proofErr w:type="spellEnd"/>
                        <w:r w:rsidRPr="00616265">
                          <w:t xml:space="preserve"> Society 24:706-723.</w:t>
                        </w:r>
                      </w:p>
                    </w:tc>
                  </w:tr>
                  <w:tr w:rsidR="00A938EA" w:rsidRPr="00616265" w14:paraId="519C712D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3E655C8D" w14:textId="77777777" w:rsidR="00A938EA" w:rsidRPr="00616265" w:rsidRDefault="00A938EA" w:rsidP="007E0EFF">
                        <w:proofErr w:type="spellStart"/>
                        <w:r w:rsidRPr="00616265">
                          <w:t>Walsh</w:t>
                        </w:r>
                        <w:proofErr w:type="spellEnd"/>
                        <w:r w:rsidRPr="00616265">
                          <w:t xml:space="preserve"> CJ (2000) Urban </w:t>
                        </w:r>
                        <w:proofErr w:type="spellStart"/>
                        <w:r w:rsidRPr="00616265">
                          <w:t>impacts</w:t>
                        </w:r>
                        <w:proofErr w:type="spellEnd"/>
                        <w:r w:rsidRPr="00616265">
                          <w:t xml:space="preserve"> on </w:t>
                        </w:r>
                        <w:proofErr w:type="spellStart"/>
                        <w:r w:rsidRPr="00616265">
                          <w:t>the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ecology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of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receiving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waters</w:t>
                        </w:r>
                        <w:proofErr w:type="spellEnd"/>
                        <w:r w:rsidRPr="00616265">
                          <w:t xml:space="preserve">: a framework </w:t>
                        </w:r>
                        <w:proofErr w:type="spellStart"/>
                        <w:r w:rsidRPr="00616265">
                          <w:t>for</w:t>
                        </w:r>
                        <w:proofErr w:type="spellEnd"/>
                        <w:r w:rsidRPr="00616265">
                          <w:t xml:space="preserve"> </w:t>
                        </w:r>
                        <w:proofErr w:type="spellStart"/>
                        <w:r w:rsidRPr="00616265">
                          <w:t>assessment</w:t>
                        </w:r>
                        <w:proofErr w:type="spellEnd"/>
                        <w:r w:rsidRPr="00616265">
                          <w:t xml:space="preserve">, </w:t>
                        </w:r>
                        <w:proofErr w:type="spellStart"/>
                        <w:r w:rsidRPr="00616265">
                          <w:t>conservation</w:t>
                        </w:r>
                        <w:proofErr w:type="spellEnd"/>
                        <w:r w:rsidRPr="00616265">
                          <w:t xml:space="preserve"> and </w:t>
                        </w:r>
                        <w:proofErr w:type="spellStart"/>
                        <w:r w:rsidRPr="00616265">
                          <w:t>restoration</w:t>
                        </w:r>
                        <w:proofErr w:type="spellEnd"/>
                        <w:r w:rsidRPr="00616265">
                          <w:t xml:space="preserve">. </w:t>
                        </w:r>
                        <w:proofErr w:type="spellStart"/>
                        <w:r w:rsidRPr="00616265">
                          <w:t>Hydrobiologia</w:t>
                        </w:r>
                        <w:proofErr w:type="spellEnd"/>
                        <w:r w:rsidRPr="00616265">
                          <w:t xml:space="preserve"> 431:107-114</w:t>
                        </w:r>
                      </w:p>
                    </w:tc>
                  </w:tr>
                </w:tbl>
                <w:p w14:paraId="79AEB106" w14:textId="77777777" w:rsidR="00A938EA" w:rsidRPr="00616265" w:rsidRDefault="00A938EA" w:rsidP="007E0EFF"/>
              </w:tc>
            </w:tr>
          </w:tbl>
          <w:p w14:paraId="0E2E0A4A" w14:textId="77777777" w:rsidR="00A938EA" w:rsidRPr="00616265" w:rsidRDefault="00A938EA" w:rsidP="007E0EFF"/>
        </w:tc>
      </w:tr>
      <w:tr w:rsidR="00A938EA" w:rsidRPr="00616265" w14:paraId="6B176DA8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A46731" w14:textId="77777777" w:rsidR="00A938EA" w:rsidRPr="00616265" w:rsidRDefault="00A938EA" w:rsidP="007E0EFF">
            <w:r w:rsidRPr="00616265">
              <w:lastRenderedPageBreak/>
              <w:t> </w:t>
            </w:r>
          </w:p>
        </w:tc>
      </w:tr>
    </w:tbl>
    <w:p w14:paraId="7CD6C255" w14:textId="77777777" w:rsidR="00A938EA" w:rsidRDefault="00A938EA" w:rsidP="00A938EA"/>
    <w:p w14:paraId="7D33F747" w14:textId="77777777" w:rsidR="00184B9F" w:rsidRDefault="00184B9F"/>
    <w:sectPr w:rsidR="00184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50"/>
    <w:rsid w:val="00184B9F"/>
    <w:rsid w:val="00823318"/>
    <w:rsid w:val="00A16650"/>
    <w:rsid w:val="00A938EA"/>
    <w:rsid w:val="00B158C9"/>
    <w:rsid w:val="00C508EA"/>
    <w:rsid w:val="00F20E70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4C44"/>
  <w15:chartTrackingRefBased/>
  <w15:docId w15:val="{4D421E0A-73CE-4020-ABA8-15605B0D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8EA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166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66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66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6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66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66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66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66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66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6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6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6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6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66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66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66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66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66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6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6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66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6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66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166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6650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A166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6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66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6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Lněničková Andrea</dc:creator>
  <cp:keywords/>
  <dc:description/>
  <cp:lastModifiedBy>Lněničková Andrea</cp:lastModifiedBy>
  <cp:revision>4</cp:revision>
  <dcterms:created xsi:type="dcterms:W3CDTF">2025-08-15T04:58:00Z</dcterms:created>
  <dcterms:modified xsi:type="dcterms:W3CDTF">2025-08-15T07:01:00Z</dcterms:modified>
</cp:coreProperties>
</file>